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56B9C" w14:textId="17012F28" w:rsidR="00903B86" w:rsidRDefault="00606DE6" w:rsidP="00903B86">
      <w:pPr>
        <w:pStyle w:val="Default"/>
        <w:rPr>
          <w:b/>
          <w:bCs/>
          <w:sz w:val="28"/>
          <w:szCs w:val="28"/>
        </w:rPr>
      </w:pPr>
      <w:r>
        <w:rPr>
          <w:b/>
          <w:bCs/>
          <w:noProof/>
          <w:sz w:val="28"/>
          <w:szCs w:val="28"/>
        </w:rPr>
        <w:drawing>
          <wp:anchor distT="0" distB="0" distL="114300" distR="114300" simplePos="0" relativeHeight="251658240" behindDoc="0" locked="0" layoutInCell="1" allowOverlap="1" wp14:anchorId="413805BE" wp14:editId="63140142">
            <wp:simplePos x="0" y="0"/>
            <wp:positionH relativeFrom="column">
              <wp:posOffset>4006850</wp:posOffset>
            </wp:positionH>
            <wp:positionV relativeFrom="paragraph">
              <wp:posOffset>0</wp:posOffset>
            </wp:positionV>
            <wp:extent cx="1847850" cy="687705"/>
            <wp:effectExtent l="0" t="0" r="0" b="0"/>
            <wp:wrapThrough wrapText="bothSides">
              <wp:wrapPolygon edited="0">
                <wp:start x="0" y="0"/>
                <wp:lineTo x="0" y="20942"/>
                <wp:lineTo x="18260" y="20942"/>
                <wp:lineTo x="19373" y="20942"/>
                <wp:lineTo x="21377" y="20343"/>
                <wp:lineTo x="21377" y="16753"/>
                <wp:lineTo x="18928" y="9573"/>
                <wp:lineTo x="21377" y="5983"/>
                <wp:lineTo x="21377" y="0"/>
                <wp:lineTo x="8016" y="0"/>
                <wp:lineTo x="0" y="0"/>
              </wp:wrapPolygon>
            </wp:wrapThrough>
            <wp:docPr id="13393876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8766" name="Graphic 13393876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47850" cy="687705"/>
                    </a:xfrm>
                    <a:prstGeom prst="rect">
                      <a:avLst/>
                    </a:prstGeom>
                  </pic:spPr>
                </pic:pic>
              </a:graphicData>
            </a:graphic>
          </wp:anchor>
        </w:drawing>
      </w:r>
      <w:r w:rsidR="00903B86">
        <w:rPr>
          <w:b/>
          <w:bCs/>
          <w:sz w:val="28"/>
          <w:szCs w:val="28"/>
        </w:rPr>
        <w:t>COTSWOLDS CONSERVATION BOARD</w:t>
      </w:r>
    </w:p>
    <w:p w14:paraId="395F9425" w14:textId="77777777" w:rsidR="00903B86" w:rsidRDefault="00903B86" w:rsidP="00903B86">
      <w:pPr>
        <w:pStyle w:val="Default"/>
        <w:rPr>
          <w:b/>
          <w:bCs/>
          <w:sz w:val="28"/>
          <w:szCs w:val="28"/>
        </w:rPr>
      </w:pPr>
    </w:p>
    <w:p w14:paraId="4D456A67" w14:textId="55A39141" w:rsidR="00903B86" w:rsidRDefault="00903B86" w:rsidP="00903B86">
      <w:pPr>
        <w:pStyle w:val="Default"/>
        <w:rPr>
          <w:b/>
          <w:bCs/>
          <w:sz w:val="28"/>
          <w:szCs w:val="28"/>
        </w:rPr>
      </w:pPr>
      <w:r>
        <w:rPr>
          <w:b/>
          <w:bCs/>
          <w:sz w:val="28"/>
          <w:szCs w:val="28"/>
        </w:rPr>
        <w:t>Board Member Role Profile</w:t>
      </w:r>
    </w:p>
    <w:p w14:paraId="7C05DE7F" w14:textId="77777777" w:rsidR="00903B86" w:rsidRDefault="00903B86" w:rsidP="00903B86">
      <w:pPr>
        <w:pStyle w:val="Default"/>
        <w:rPr>
          <w:sz w:val="28"/>
          <w:szCs w:val="28"/>
        </w:rPr>
      </w:pPr>
    </w:p>
    <w:p w14:paraId="7B0FC9C1" w14:textId="77777777" w:rsidR="00903B86" w:rsidRDefault="00903B86" w:rsidP="00903B86">
      <w:pPr>
        <w:pStyle w:val="Default"/>
        <w:rPr>
          <w:b/>
          <w:bCs/>
          <w:sz w:val="23"/>
          <w:szCs w:val="23"/>
        </w:rPr>
      </w:pPr>
      <w:r>
        <w:rPr>
          <w:b/>
          <w:bCs/>
          <w:sz w:val="23"/>
          <w:szCs w:val="23"/>
        </w:rPr>
        <w:t xml:space="preserve">1. The Conservation Board’s Purposes and Duty </w:t>
      </w:r>
    </w:p>
    <w:p w14:paraId="20135B55" w14:textId="77777777" w:rsidR="00903B86" w:rsidRDefault="00903B86" w:rsidP="00903B86">
      <w:pPr>
        <w:pStyle w:val="Default"/>
        <w:rPr>
          <w:sz w:val="23"/>
          <w:szCs w:val="23"/>
        </w:rPr>
      </w:pPr>
    </w:p>
    <w:p w14:paraId="27BBF73D" w14:textId="77777777" w:rsidR="00903B86" w:rsidRDefault="00903B86" w:rsidP="00903B86">
      <w:pPr>
        <w:pStyle w:val="Default"/>
        <w:rPr>
          <w:sz w:val="22"/>
          <w:szCs w:val="22"/>
        </w:rPr>
      </w:pPr>
      <w:r>
        <w:rPr>
          <w:sz w:val="22"/>
          <w:szCs w:val="22"/>
        </w:rPr>
        <w:t xml:space="preserve">The Cotswolds Conservation Board was established by Parliament in 2004, became fully operational in 2005 and has two statutory purposes: </w:t>
      </w:r>
    </w:p>
    <w:p w14:paraId="25F3A04E" w14:textId="77777777" w:rsidR="00903B86" w:rsidRDefault="00903B86" w:rsidP="00903B86">
      <w:pPr>
        <w:pStyle w:val="Default"/>
        <w:rPr>
          <w:sz w:val="22"/>
          <w:szCs w:val="22"/>
        </w:rPr>
      </w:pPr>
    </w:p>
    <w:p w14:paraId="71089807" w14:textId="2EB271D3" w:rsidR="00903B86" w:rsidRDefault="00903B86" w:rsidP="00903B86">
      <w:pPr>
        <w:pStyle w:val="Default"/>
        <w:numPr>
          <w:ilvl w:val="0"/>
          <w:numId w:val="7"/>
        </w:numPr>
        <w:spacing w:after="40"/>
        <w:rPr>
          <w:sz w:val="22"/>
          <w:szCs w:val="22"/>
        </w:rPr>
      </w:pPr>
      <w:r>
        <w:rPr>
          <w:sz w:val="22"/>
          <w:szCs w:val="22"/>
        </w:rPr>
        <w:t xml:space="preserve">to conserve and enhance the natural beauty of the Cotswolds Area of Outstanding Natural            Beauty (AONB) </w:t>
      </w:r>
    </w:p>
    <w:p w14:paraId="71BD3F93" w14:textId="77777777" w:rsidR="00903B86" w:rsidRDefault="00903B86" w:rsidP="00903B86">
      <w:pPr>
        <w:pStyle w:val="Default"/>
        <w:numPr>
          <w:ilvl w:val="0"/>
          <w:numId w:val="7"/>
        </w:numPr>
        <w:rPr>
          <w:sz w:val="22"/>
          <w:szCs w:val="22"/>
        </w:rPr>
      </w:pPr>
      <w:r>
        <w:rPr>
          <w:sz w:val="22"/>
          <w:szCs w:val="22"/>
        </w:rPr>
        <w:t xml:space="preserve">to increase the understanding and enjoyment of the special qualities of the AONB </w:t>
      </w:r>
    </w:p>
    <w:p w14:paraId="043CCE23" w14:textId="77777777" w:rsidR="00903B86" w:rsidRDefault="00903B86" w:rsidP="00903B86">
      <w:pPr>
        <w:pStyle w:val="Default"/>
        <w:rPr>
          <w:sz w:val="22"/>
          <w:szCs w:val="22"/>
        </w:rPr>
      </w:pPr>
    </w:p>
    <w:p w14:paraId="2BBCBF33" w14:textId="77777777" w:rsidR="00903B86" w:rsidRDefault="00903B86" w:rsidP="00903B86">
      <w:pPr>
        <w:pStyle w:val="Default"/>
        <w:rPr>
          <w:sz w:val="22"/>
          <w:szCs w:val="22"/>
        </w:rPr>
      </w:pPr>
      <w:r>
        <w:rPr>
          <w:sz w:val="22"/>
          <w:szCs w:val="22"/>
        </w:rPr>
        <w:t xml:space="preserve">In fulfilling these purposes, the Board has a duty to seek to foster the social and economic well-being of local communities in the AONB. </w:t>
      </w:r>
    </w:p>
    <w:p w14:paraId="11532DF8" w14:textId="77777777" w:rsidR="00363A76" w:rsidRDefault="00363A76" w:rsidP="00903B86">
      <w:pPr>
        <w:pStyle w:val="Default"/>
        <w:rPr>
          <w:sz w:val="22"/>
          <w:szCs w:val="22"/>
        </w:rPr>
      </w:pPr>
    </w:p>
    <w:p w14:paraId="02FFE0FF" w14:textId="77777777" w:rsidR="00903B86" w:rsidRDefault="00903B86" w:rsidP="00903B86">
      <w:pPr>
        <w:pStyle w:val="Default"/>
        <w:rPr>
          <w:sz w:val="23"/>
          <w:szCs w:val="23"/>
        </w:rPr>
      </w:pPr>
      <w:r>
        <w:rPr>
          <w:b/>
          <w:bCs/>
          <w:sz w:val="23"/>
          <w:szCs w:val="23"/>
        </w:rPr>
        <w:t xml:space="preserve">2. Appointment or Election of Board Members </w:t>
      </w:r>
    </w:p>
    <w:p w14:paraId="7B838EF4" w14:textId="77777777" w:rsidR="00363A76" w:rsidRDefault="00363A76" w:rsidP="00903B86">
      <w:pPr>
        <w:pStyle w:val="Default"/>
        <w:rPr>
          <w:sz w:val="22"/>
          <w:szCs w:val="22"/>
        </w:rPr>
      </w:pPr>
    </w:p>
    <w:p w14:paraId="2D674578" w14:textId="3F174A20" w:rsidR="00903B86" w:rsidRDefault="00903B86" w:rsidP="00903B86">
      <w:pPr>
        <w:pStyle w:val="Default"/>
        <w:rPr>
          <w:sz w:val="22"/>
          <w:szCs w:val="22"/>
        </w:rPr>
      </w:pPr>
      <w:r>
        <w:rPr>
          <w:sz w:val="22"/>
          <w:szCs w:val="22"/>
        </w:rPr>
        <w:t xml:space="preserve">Arrangements for the appointment of Board Members are set out in the Board’s Establishment Order. </w:t>
      </w:r>
    </w:p>
    <w:p w14:paraId="63672186" w14:textId="77777777" w:rsidR="00363A76" w:rsidRDefault="00363A76" w:rsidP="00903B86">
      <w:pPr>
        <w:pStyle w:val="Default"/>
        <w:rPr>
          <w:sz w:val="22"/>
          <w:szCs w:val="22"/>
        </w:rPr>
      </w:pPr>
    </w:p>
    <w:p w14:paraId="6DE0D43A" w14:textId="77777777" w:rsidR="00903B86" w:rsidRDefault="00903B86" w:rsidP="00903B86">
      <w:pPr>
        <w:pStyle w:val="Default"/>
        <w:rPr>
          <w:sz w:val="23"/>
          <w:szCs w:val="23"/>
        </w:rPr>
      </w:pPr>
      <w:r>
        <w:rPr>
          <w:b/>
          <w:bCs/>
          <w:sz w:val="23"/>
          <w:szCs w:val="23"/>
        </w:rPr>
        <w:t xml:space="preserve">3. The Board’s Composition </w:t>
      </w:r>
    </w:p>
    <w:p w14:paraId="27F7C7FF" w14:textId="77777777" w:rsidR="00363A76" w:rsidRDefault="00363A76" w:rsidP="00903B86">
      <w:pPr>
        <w:pStyle w:val="Default"/>
        <w:rPr>
          <w:sz w:val="22"/>
          <w:szCs w:val="22"/>
        </w:rPr>
      </w:pPr>
    </w:p>
    <w:p w14:paraId="653A986C" w14:textId="067DECF3" w:rsidR="00903B86" w:rsidRDefault="00903B86" w:rsidP="00903B86">
      <w:pPr>
        <w:pStyle w:val="Default"/>
        <w:rPr>
          <w:sz w:val="22"/>
          <w:szCs w:val="22"/>
        </w:rPr>
      </w:pPr>
      <w:r>
        <w:rPr>
          <w:sz w:val="22"/>
          <w:szCs w:val="22"/>
        </w:rPr>
        <w:t xml:space="preserve">The Board has a maximum of 37 voting Members: 15 appointed by local authorities, 14 appointed by the Secretary of State and 8 appointed by Parish Councils and Parish Meetings. </w:t>
      </w:r>
    </w:p>
    <w:p w14:paraId="080259D1" w14:textId="77777777" w:rsidR="00363A76" w:rsidRDefault="00363A76" w:rsidP="00903B86">
      <w:pPr>
        <w:pStyle w:val="Default"/>
        <w:rPr>
          <w:sz w:val="22"/>
          <w:szCs w:val="22"/>
        </w:rPr>
      </w:pPr>
    </w:p>
    <w:p w14:paraId="13F6620B" w14:textId="77777777" w:rsidR="00903B86" w:rsidRDefault="00903B86" w:rsidP="00903B86">
      <w:pPr>
        <w:pStyle w:val="Default"/>
        <w:rPr>
          <w:sz w:val="22"/>
          <w:szCs w:val="22"/>
        </w:rPr>
      </w:pPr>
      <w:r>
        <w:rPr>
          <w:sz w:val="22"/>
          <w:szCs w:val="22"/>
        </w:rPr>
        <w:t xml:space="preserve">Board Members are appointed as individuals to the Board. While they may be appointed by a local authority or nominated by an organisation, they are not appointed to the Board to represent that authority or organisation. The Membership of the Board is constructed so that both local and national interests are reflected in its make-up. All Board Members are collectively responsible for decisions and should apply policies consistently. Whilst Board Members are drawn from three groups or sectors they work and act as one Board. </w:t>
      </w:r>
    </w:p>
    <w:p w14:paraId="5800FA52" w14:textId="77777777" w:rsidR="00363A76" w:rsidRDefault="00363A76" w:rsidP="00903B86">
      <w:pPr>
        <w:pStyle w:val="Default"/>
        <w:rPr>
          <w:sz w:val="22"/>
          <w:szCs w:val="22"/>
        </w:rPr>
      </w:pPr>
    </w:p>
    <w:p w14:paraId="6E1C0EAB" w14:textId="77777777" w:rsidR="00903B86" w:rsidRDefault="00903B86" w:rsidP="00903B86">
      <w:pPr>
        <w:pStyle w:val="Default"/>
        <w:rPr>
          <w:b/>
          <w:bCs/>
          <w:sz w:val="23"/>
          <w:szCs w:val="23"/>
        </w:rPr>
      </w:pPr>
      <w:r>
        <w:rPr>
          <w:b/>
          <w:bCs/>
          <w:sz w:val="23"/>
          <w:szCs w:val="23"/>
        </w:rPr>
        <w:t xml:space="preserve">4. Roles and Functions of all Board Members </w:t>
      </w:r>
    </w:p>
    <w:p w14:paraId="6F03377C" w14:textId="77777777" w:rsidR="00363A76" w:rsidRDefault="00363A76" w:rsidP="00903B86">
      <w:pPr>
        <w:pStyle w:val="Default"/>
        <w:rPr>
          <w:sz w:val="23"/>
          <w:szCs w:val="23"/>
        </w:rPr>
      </w:pPr>
    </w:p>
    <w:p w14:paraId="7169ECB6" w14:textId="77777777" w:rsidR="00396900" w:rsidRDefault="00903B86" w:rsidP="00396900">
      <w:pPr>
        <w:pStyle w:val="Default"/>
        <w:rPr>
          <w:sz w:val="22"/>
          <w:szCs w:val="22"/>
        </w:rPr>
      </w:pPr>
      <w:r>
        <w:rPr>
          <w:sz w:val="22"/>
          <w:szCs w:val="22"/>
        </w:rPr>
        <w:t xml:space="preserve">The Board can only achieve its purposes effectively if its decisions take full account of the statutory purposes of the Board, balance local and national needs and lead to realistic actions. </w:t>
      </w:r>
    </w:p>
    <w:p w14:paraId="46E3B131" w14:textId="77777777" w:rsidR="00396900" w:rsidRDefault="00396900" w:rsidP="00396900">
      <w:pPr>
        <w:pStyle w:val="Default"/>
        <w:rPr>
          <w:sz w:val="22"/>
          <w:szCs w:val="22"/>
        </w:rPr>
      </w:pPr>
    </w:p>
    <w:p w14:paraId="58E31E70" w14:textId="07AB04CC" w:rsidR="00903B86" w:rsidRDefault="00903B86" w:rsidP="00396900">
      <w:pPr>
        <w:pStyle w:val="Default"/>
        <w:rPr>
          <w:b/>
          <w:bCs/>
          <w:color w:val="auto"/>
          <w:sz w:val="23"/>
          <w:szCs w:val="23"/>
        </w:rPr>
      </w:pPr>
      <w:r>
        <w:rPr>
          <w:b/>
          <w:bCs/>
          <w:color w:val="auto"/>
          <w:sz w:val="23"/>
          <w:szCs w:val="23"/>
        </w:rPr>
        <w:t xml:space="preserve">Main Roles: </w:t>
      </w:r>
    </w:p>
    <w:p w14:paraId="4414A541" w14:textId="77777777" w:rsidR="00396900" w:rsidRDefault="00396900" w:rsidP="00396900">
      <w:pPr>
        <w:pStyle w:val="Default"/>
        <w:rPr>
          <w:color w:val="auto"/>
          <w:sz w:val="23"/>
          <w:szCs w:val="23"/>
        </w:rPr>
      </w:pPr>
    </w:p>
    <w:p w14:paraId="1C139052" w14:textId="77777777" w:rsidR="00903B86" w:rsidRDefault="00903B86" w:rsidP="00396900">
      <w:pPr>
        <w:pStyle w:val="Default"/>
        <w:numPr>
          <w:ilvl w:val="0"/>
          <w:numId w:val="8"/>
        </w:numPr>
        <w:rPr>
          <w:color w:val="auto"/>
          <w:sz w:val="22"/>
          <w:szCs w:val="22"/>
        </w:rPr>
      </w:pPr>
      <w:r>
        <w:rPr>
          <w:color w:val="auto"/>
          <w:sz w:val="22"/>
          <w:szCs w:val="22"/>
        </w:rPr>
        <w:t xml:space="preserve">To guide the management of the Conservation Board so that it achieves its two purposes and in doing so helps deliver its duty. </w:t>
      </w:r>
    </w:p>
    <w:p w14:paraId="194A6E80" w14:textId="77777777" w:rsidR="00903B86" w:rsidRDefault="00903B86" w:rsidP="00396900">
      <w:pPr>
        <w:pStyle w:val="Default"/>
        <w:numPr>
          <w:ilvl w:val="0"/>
          <w:numId w:val="8"/>
        </w:numPr>
        <w:rPr>
          <w:color w:val="auto"/>
          <w:sz w:val="22"/>
          <w:szCs w:val="22"/>
        </w:rPr>
      </w:pPr>
      <w:r>
        <w:rPr>
          <w:color w:val="auto"/>
          <w:sz w:val="22"/>
          <w:szCs w:val="22"/>
        </w:rPr>
        <w:t xml:space="preserve">To guide the management of the Cotswolds AONB so that it delivers wide benefits to its local communities and the nation. </w:t>
      </w:r>
    </w:p>
    <w:p w14:paraId="577DF353" w14:textId="77777777" w:rsidR="00903B86" w:rsidRDefault="00903B86" w:rsidP="00903B86">
      <w:pPr>
        <w:pStyle w:val="Default"/>
        <w:rPr>
          <w:color w:val="auto"/>
          <w:sz w:val="22"/>
          <w:szCs w:val="22"/>
        </w:rPr>
      </w:pPr>
    </w:p>
    <w:p w14:paraId="15EC944B" w14:textId="6EB167DD" w:rsidR="00903B86" w:rsidRDefault="00903B86" w:rsidP="00903B86">
      <w:pPr>
        <w:pStyle w:val="Default"/>
        <w:rPr>
          <w:b/>
          <w:bCs/>
          <w:color w:val="auto"/>
          <w:sz w:val="23"/>
          <w:szCs w:val="23"/>
        </w:rPr>
      </w:pPr>
      <w:r>
        <w:rPr>
          <w:b/>
          <w:bCs/>
          <w:color w:val="auto"/>
          <w:sz w:val="23"/>
          <w:szCs w:val="23"/>
        </w:rPr>
        <w:t xml:space="preserve">Main Functions: </w:t>
      </w:r>
    </w:p>
    <w:p w14:paraId="1C671D6C" w14:textId="77777777" w:rsidR="00396900" w:rsidRDefault="00396900" w:rsidP="00903B86">
      <w:pPr>
        <w:pStyle w:val="Default"/>
        <w:rPr>
          <w:color w:val="auto"/>
          <w:sz w:val="23"/>
          <w:szCs w:val="23"/>
        </w:rPr>
      </w:pPr>
    </w:p>
    <w:p w14:paraId="3001AC42" w14:textId="77777777" w:rsidR="00903B86" w:rsidRDefault="00903B86" w:rsidP="00396900">
      <w:pPr>
        <w:pStyle w:val="Default"/>
        <w:numPr>
          <w:ilvl w:val="0"/>
          <w:numId w:val="10"/>
        </w:numPr>
        <w:spacing w:after="27"/>
        <w:rPr>
          <w:color w:val="auto"/>
          <w:sz w:val="22"/>
          <w:szCs w:val="22"/>
        </w:rPr>
      </w:pPr>
      <w:r>
        <w:rPr>
          <w:color w:val="auto"/>
          <w:sz w:val="22"/>
          <w:szCs w:val="22"/>
        </w:rPr>
        <w:t xml:space="preserve">To be an ambassador for the Conservation Board and its ambitions and policies at the local, national or international level; </w:t>
      </w:r>
    </w:p>
    <w:p w14:paraId="4B3A1D7E" w14:textId="77777777" w:rsidR="00903B86" w:rsidRDefault="00903B86" w:rsidP="00396900">
      <w:pPr>
        <w:pStyle w:val="Default"/>
        <w:numPr>
          <w:ilvl w:val="0"/>
          <w:numId w:val="10"/>
        </w:numPr>
        <w:spacing w:after="27"/>
        <w:rPr>
          <w:color w:val="auto"/>
          <w:sz w:val="22"/>
          <w:szCs w:val="22"/>
        </w:rPr>
      </w:pPr>
      <w:r>
        <w:rPr>
          <w:color w:val="auto"/>
          <w:sz w:val="22"/>
          <w:szCs w:val="22"/>
        </w:rPr>
        <w:lastRenderedPageBreak/>
        <w:t xml:space="preserve">To champion the Board as an effective mechanism for the conservation and enhancement of the area’s natural beauty, increasing public understanding and enjoyment of its special qualities, and maintaining the social and economic well-being of local communities; </w:t>
      </w:r>
    </w:p>
    <w:p w14:paraId="0F8A497C" w14:textId="77777777" w:rsidR="00903B86" w:rsidRDefault="00903B86" w:rsidP="00396900">
      <w:pPr>
        <w:pStyle w:val="Default"/>
        <w:numPr>
          <w:ilvl w:val="0"/>
          <w:numId w:val="10"/>
        </w:numPr>
        <w:spacing w:after="27"/>
        <w:rPr>
          <w:color w:val="auto"/>
          <w:sz w:val="22"/>
          <w:szCs w:val="22"/>
        </w:rPr>
      </w:pPr>
      <w:r>
        <w:rPr>
          <w:color w:val="auto"/>
          <w:sz w:val="22"/>
          <w:szCs w:val="22"/>
        </w:rPr>
        <w:t xml:space="preserve">To champion the Board’s Management plan, policies, advice and guidance, programmes and grants within their own individual networks; </w:t>
      </w:r>
    </w:p>
    <w:p w14:paraId="4731E44D" w14:textId="2809CC38" w:rsidR="00903B86" w:rsidRDefault="00903B86" w:rsidP="00396900">
      <w:pPr>
        <w:pStyle w:val="Default"/>
        <w:numPr>
          <w:ilvl w:val="0"/>
          <w:numId w:val="10"/>
        </w:numPr>
        <w:spacing w:after="27"/>
        <w:rPr>
          <w:color w:val="auto"/>
          <w:sz w:val="22"/>
          <w:szCs w:val="22"/>
        </w:rPr>
      </w:pPr>
      <w:r>
        <w:rPr>
          <w:color w:val="auto"/>
          <w:sz w:val="22"/>
          <w:szCs w:val="22"/>
        </w:rPr>
        <w:t>To be collectively responsible for decisions and contribute towards the overall strategic direction of the Conservation Board and management of the AONB through the development of policy, the management plan and business plan</w:t>
      </w:r>
      <w:r w:rsidR="00396900">
        <w:rPr>
          <w:color w:val="auto"/>
          <w:sz w:val="22"/>
          <w:szCs w:val="22"/>
          <w:vertAlign w:val="superscript"/>
        </w:rPr>
        <w:t>1</w:t>
      </w:r>
      <w:r>
        <w:rPr>
          <w:color w:val="auto"/>
          <w:sz w:val="22"/>
          <w:szCs w:val="22"/>
        </w:rPr>
        <w:t xml:space="preserve">; </w:t>
      </w:r>
    </w:p>
    <w:p w14:paraId="60103809" w14:textId="77777777" w:rsidR="00903B86" w:rsidRDefault="00903B86" w:rsidP="00396900">
      <w:pPr>
        <w:pStyle w:val="Default"/>
        <w:numPr>
          <w:ilvl w:val="0"/>
          <w:numId w:val="10"/>
        </w:numPr>
        <w:spacing w:after="27"/>
        <w:rPr>
          <w:color w:val="auto"/>
          <w:sz w:val="22"/>
          <w:szCs w:val="22"/>
        </w:rPr>
      </w:pPr>
      <w:r>
        <w:rPr>
          <w:color w:val="auto"/>
          <w:sz w:val="22"/>
          <w:szCs w:val="22"/>
        </w:rPr>
        <w:t xml:space="preserve">To collectively participate in the development of policy direction, strategic thinking and innovation within the Conservation Board; </w:t>
      </w:r>
    </w:p>
    <w:p w14:paraId="694297D8" w14:textId="77777777" w:rsidR="00903B86" w:rsidRDefault="00903B86" w:rsidP="00396900">
      <w:pPr>
        <w:pStyle w:val="Default"/>
        <w:numPr>
          <w:ilvl w:val="0"/>
          <w:numId w:val="10"/>
        </w:numPr>
        <w:spacing w:after="27"/>
        <w:rPr>
          <w:color w:val="auto"/>
          <w:sz w:val="22"/>
          <w:szCs w:val="22"/>
        </w:rPr>
      </w:pPr>
      <w:r>
        <w:rPr>
          <w:color w:val="auto"/>
          <w:sz w:val="22"/>
          <w:szCs w:val="22"/>
        </w:rPr>
        <w:t xml:space="preserve">To influence the Board to help it come to informed and balanced decisions, contributing knowledge, skills and advice from the local, regional and national perspective; </w:t>
      </w:r>
    </w:p>
    <w:p w14:paraId="3AC82CDC" w14:textId="77777777" w:rsidR="00903B86" w:rsidRDefault="00903B86" w:rsidP="00396900">
      <w:pPr>
        <w:pStyle w:val="Default"/>
        <w:numPr>
          <w:ilvl w:val="0"/>
          <w:numId w:val="10"/>
        </w:numPr>
        <w:spacing w:after="27"/>
        <w:rPr>
          <w:color w:val="auto"/>
          <w:sz w:val="22"/>
          <w:szCs w:val="22"/>
        </w:rPr>
      </w:pPr>
      <w:r>
        <w:rPr>
          <w:color w:val="auto"/>
          <w:sz w:val="22"/>
          <w:szCs w:val="22"/>
        </w:rPr>
        <w:t xml:space="preserve">To work with Members, staff and stakeholders to apply the purposes of the Conservation Board and the principles of sustainable development to all decision-making; </w:t>
      </w:r>
    </w:p>
    <w:p w14:paraId="2C6DC346" w14:textId="77777777" w:rsidR="00903B86" w:rsidRDefault="00903B86" w:rsidP="00396900">
      <w:pPr>
        <w:pStyle w:val="Default"/>
        <w:numPr>
          <w:ilvl w:val="0"/>
          <w:numId w:val="10"/>
        </w:numPr>
        <w:spacing w:after="27"/>
        <w:rPr>
          <w:color w:val="auto"/>
          <w:sz w:val="22"/>
          <w:szCs w:val="22"/>
        </w:rPr>
      </w:pPr>
      <w:r>
        <w:rPr>
          <w:color w:val="auto"/>
          <w:sz w:val="22"/>
          <w:szCs w:val="22"/>
        </w:rPr>
        <w:t xml:space="preserve">To approve and monitor the implementation and achievement of the Board’s ambitions, policies and programmes; </w:t>
      </w:r>
    </w:p>
    <w:p w14:paraId="09E9159F" w14:textId="77777777" w:rsidR="00903B86" w:rsidRDefault="00903B86" w:rsidP="00396900">
      <w:pPr>
        <w:pStyle w:val="Default"/>
        <w:numPr>
          <w:ilvl w:val="0"/>
          <w:numId w:val="10"/>
        </w:numPr>
        <w:spacing w:after="27"/>
        <w:rPr>
          <w:color w:val="auto"/>
          <w:sz w:val="22"/>
          <w:szCs w:val="22"/>
        </w:rPr>
      </w:pPr>
      <w:r>
        <w:rPr>
          <w:color w:val="auto"/>
          <w:sz w:val="22"/>
          <w:szCs w:val="22"/>
        </w:rPr>
        <w:t xml:space="preserve">To challenge internal and external proposals that exceed or go against the statutory purposes of the Board and the purposes of the designation of the AONB; </w:t>
      </w:r>
    </w:p>
    <w:p w14:paraId="4DEF2949" w14:textId="77777777" w:rsidR="00903B86" w:rsidRDefault="00903B86" w:rsidP="00396900">
      <w:pPr>
        <w:pStyle w:val="Default"/>
        <w:numPr>
          <w:ilvl w:val="0"/>
          <w:numId w:val="10"/>
        </w:numPr>
        <w:rPr>
          <w:color w:val="auto"/>
          <w:sz w:val="22"/>
          <w:szCs w:val="22"/>
        </w:rPr>
      </w:pPr>
      <w:r>
        <w:rPr>
          <w:color w:val="auto"/>
          <w:sz w:val="22"/>
          <w:szCs w:val="22"/>
        </w:rPr>
        <w:t xml:space="preserve">To promote the profile and effectiveness of the family of Protected Landscapes (AONBs, National Parks and Heritage Coasts) through the work of the Conservation Board, co-operative action such as peer support and review, and co-operation with the work of DEFRA, Natural England, the National Association of AONBs (NAAONB), National Parks England (NPE), the Association of National Park Authorities (ANPA) and </w:t>
      </w:r>
      <w:proofErr w:type="spellStart"/>
      <w:r>
        <w:rPr>
          <w:color w:val="auto"/>
          <w:sz w:val="22"/>
          <w:szCs w:val="22"/>
        </w:rPr>
        <w:t>Europarc</w:t>
      </w:r>
      <w:proofErr w:type="spellEnd"/>
      <w:r>
        <w:rPr>
          <w:color w:val="auto"/>
          <w:sz w:val="22"/>
          <w:szCs w:val="22"/>
        </w:rPr>
        <w:t xml:space="preserve">. </w:t>
      </w:r>
    </w:p>
    <w:p w14:paraId="6B0FBC05" w14:textId="77777777" w:rsidR="00903B86" w:rsidRDefault="00903B86" w:rsidP="00903B86">
      <w:pPr>
        <w:pStyle w:val="Default"/>
        <w:rPr>
          <w:color w:val="auto"/>
          <w:sz w:val="22"/>
          <w:szCs w:val="22"/>
        </w:rPr>
      </w:pPr>
    </w:p>
    <w:p w14:paraId="67BC0FB4" w14:textId="77777777" w:rsidR="00903B86" w:rsidRDefault="00903B86" w:rsidP="00903B86">
      <w:pPr>
        <w:pStyle w:val="Default"/>
        <w:rPr>
          <w:b/>
          <w:bCs/>
          <w:color w:val="auto"/>
          <w:sz w:val="23"/>
          <w:szCs w:val="23"/>
        </w:rPr>
      </w:pPr>
      <w:r>
        <w:rPr>
          <w:b/>
          <w:bCs/>
          <w:color w:val="auto"/>
          <w:sz w:val="23"/>
          <w:szCs w:val="23"/>
        </w:rPr>
        <w:t xml:space="preserve">Terms and Conditions </w:t>
      </w:r>
    </w:p>
    <w:p w14:paraId="208DE7FA" w14:textId="77777777" w:rsidR="00396900" w:rsidRDefault="00396900" w:rsidP="00903B86">
      <w:pPr>
        <w:pStyle w:val="Default"/>
        <w:rPr>
          <w:color w:val="auto"/>
          <w:sz w:val="23"/>
          <w:szCs w:val="23"/>
        </w:rPr>
      </w:pPr>
    </w:p>
    <w:p w14:paraId="34B35A89" w14:textId="77777777" w:rsidR="00903B86" w:rsidRDefault="00903B86" w:rsidP="00903B86">
      <w:pPr>
        <w:pStyle w:val="Default"/>
        <w:rPr>
          <w:b/>
          <w:bCs/>
          <w:color w:val="auto"/>
          <w:sz w:val="23"/>
          <w:szCs w:val="23"/>
        </w:rPr>
      </w:pPr>
      <w:r>
        <w:rPr>
          <w:b/>
          <w:bCs/>
          <w:color w:val="auto"/>
          <w:sz w:val="23"/>
          <w:szCs w:val="23"/>
        </w:rPr>
        <w:t xml:space="preserve">5. The Board’s Constitution </w:t>
      </w:r>
    </w:p>
    <w:p w14:paraId="1AF8B0FB" w14:textId="77777777" w:rsidR="00396900" w:rsidRDefault="00396900" w:rsidP="00903B86">
      <w:pPr>
        <w:pStyle w:val="Default"/>
        <w:rPr>
          <w:color w:val="auto"/>
          <w:sz w:val="23"/>
          <w:szCs w:val="23"/>
        </w:rPr>
      </w:pPr>
    </w:p>
    <w:p w14:paraId="3714FDA1" w14:textId="77777777" w:rsidR="00396900" w:rsidRDefault="00903B86" w:rsidP="00396900">
      <w:pPr>
        <w:pStyle w:val="Default"/>
        <w:rPr>
          <w:color w:val="auto"/>
          <w:sz w:val="22"/>
          <w:szCs w:val="22"/>
        </w:rPr>
      </w:pPr>
      <w:r>
        <w:rPr>
          <w:color w:val="auto"/>
          <w:sz w:val="22"/>
          <w:szCs w:val="22"/>
        </w:rPr>
        <w:t xml:space="preserve">The enabling legislation that provided for the establishment of Conservation Boards and defined their purposes and duty was the Countryside and Rights of Way Act 2000. The Board’s structure and functions were defined through its own Parliamentary Establishment Order (2004/1777).  </w:t>
      </w:r>
    </w:p>
    <w:p w14:paraId="75C560BD" w14:textId="77777777" w:rsidR="00396900" w:rsidRDefault="00396900" w:rsidP="00396900">
      <w:pPr>
        <w:pStyle w:val="Default"/>
        <w:rPr>
          <w:color w:val="auto"/>
          <w:sz w:val="22"/>
          <w:szCs w:val="22"/>
        </w:rPr>
      </w:pPr>
    </w:p>
    <w:p w14:paraId="0F8C0618" w14:textId="3B52E26E" w:rsidR="00396900" w:rsidRDefault="00396900" w:rsidP="00396900">
      <w:pPr>
        <w:pStyle w:val="Default"/>
        <w:rPr>
          <w:color w:val="auto"/>
          <w:sz w:val="22"/>
          <w:szCs w:val="22"/>
        </w:rPr>
      </w:pPr>
      <w:r>
        <w:rPr>
          <w:color w:val="auto"/>
          <w:sz w:val="22"/>
          <w:szCs w:val="22"/>
        </w:rPr>
        <w:t xml:space="preserve">The Board has its own Constitution which sets out how the Board operates, how decisions are made and the procedures that are followed to ensure efficiency, transparency and accountability. Board Members are expected to be familiar with the Conservation Board’s legislative framework. </w:t>
      </w:r>
    </w:p>
    <w:p w14:paraId="670D89E1" w14:textId="77777777" w:rsidR="00396900" w:rsidRDefault="00396900" w:rsidP="00396900">
      <w:pPr>
        <w:pStyle w:val="Default"/>
        <w:rPr>
          <w:color w:val="auto"/>
          <w:sz w:val="22"/>
          <w:szCs w:val="22"/>
        </w:rPr>
      </w:pPr>
    </w:p>
    <w:p w14:paraId="567205E5" w14:textId="77777777" w:rsidR="00BE7803" w:rsidRDefault="00BE7803" w:rsidP="00BE7803">
      <w:pPr>
        <w:pStyle w:val="Default"/>
        <w:rPr>
          <w:b/>
          <w:bCs/>
          <w:color w:val="auto"/>
          <w:sz w:val="23"/>
          <w:szCs w:val="23"/>
        </w:rPr>
      </w:pPr>
      <w:r>
        <w:rPr>
          <w:b/>
          <w:bCs/>
          <w:color w:val="auto"/>
          <w:sz w:val="23"/>
          <w:szCs w:val="23"/>
        </w:rPr>
        <w:t xml:space="preserve">6. Time Commitment </w:t>
      </w:r>
    </w:p>
    <w:p w14:paraId="6F58FCC7" w14:textId="77777777" w:rsidR="00BE7803" w:rsidRDefault="00BE7803" w:rsidP="00BE7803">
      <w:pPr>
        <w:pStyle w:val="Default"/>
        <w:rPr>
          <w:color w:val="auto"/>
          <w:sz w:val="23"/>
          <w:szCs w:val="23"/>
        </w:rPr>
      </w:pPr>
    </w:p>
    <w:p w14:paraId="43E64F49" w14:textId="77777777" w:rsidR="00BE7803" w:rsidRDefault="00BE7803" w:rsidP="00BE7803">
      <w:pPr>
        <w:pStyle w:val="Default"/>
        <w:rPr>
          <w:color w:val="auto"/>
          <w:sz w:val="22"/>
          <w:szCs w:val="22"/>
        </w:rPr>
      </w:pPr>
      <w:r>
        <w:rPr>
          <w:color w:val="auto"/>
          <w:sz w:val="22"/>
          <w:szCs w:val="22"/>
        </w:rPr>
        <w:t xml:space="preserve">It is envisaged that Members will spend one day per month for the Board, although this time commitment may increase if Members stand for election and are appointed to the Board’s Executive Committee, one of the Working Groups or other committees or officially represents the Board on an external body. </w:t>
      </w:r>
    </w:p>
    <w:p w14:paraId="757C7A0F" w14:textId="77777777" w:rsidR="00BE7803" w:rsidRDefault="00BE7803" w:rsidP="00BE7803">
      <w:pPr>
        <w:pStyle w:val="Default"/>
        <w:rPr>
          <w:color w:val="auto"/>
          <w:sz w:val="22"/>
          <w:szCs w:val="22"/>
        </w:rPr>
      </w:pPr>
    </w:p>
    <w:p w14:paraId="436389C9" w14:textId="77777777" w:rsidR="00BE7803" w:rsidRDefault="00BE7803" w:rsidP="00BE7803">
      <w:pPr>
        <w:pStyle w:val="Default"/>
        <w:rPr>
          <w:color w:val="auto"/>
          <w:sz w:val="22"/>
          <w:szCs w:val="22"/>
        </w:rPr>
      </w:pPr>
      <w:r>
        <w:rPr>
          <w:color w:val="auto"/>
          <w:sz w:val="22"/>
          <w:szCs w:val="22"/>
        </w:rPr>
        <w:t xml:space="preserve">Board Members are expected to attend and contribute to regular meetings of the Board, preparing fully in advance of each meeting through reading any papers or briefing material provided. </w:t>
      </w:r>
    </w:p>
    <w:p w14:paraId="25ED15E9" w14:textId="77777777" w:rsidR="00396900" w:rsidRDefault="00396900" w:rsidP="00396900">
      <w:pPr>
        <w:pStyle w:val="Default"/>
        <w:rPr>
          <w:color w:val="auto"/>
          <w:sz w:val="22"/>
          <w:szCs w:val="22"/>
        </w:rPr>
      </w:pPr>
    </w:p>
    <w:p w14:paraId="0B6C2C6A" w14:textId="77777777" w:rsidR="00396900" w:rsidRDefault="00396900" w:rsidP="00396900">
      <w:pPr>
        <w:pStyle w:val="Default"/>
        <w:rPr>
          <w:color w:val="auto"/>
          <w:sz w:val="22"/>
          <w:szCs w:val="22"/>
        </w:rPr>
      </w:pPr>
    </w:p>
    <w:p w14:paraId="072A61C0" w14:textId="77777777" w:rsidR="00396900" w:rsidRDefault="00396900" w:rsidP="00903B86">
      <w:pPr>
        <w:pStyle w:val="Default"/>
        <w:rPr>
          <w:color w:val="auto"/>
        </w:rPr>
      </w:pPr>
    </w:p>
    <w:p w14:paraId="6F4A520E" w14:textId="075D1F83" w:rsidR="00396900" w:rsidRDefault="00396900" w:rsidP="00396900">
      <w:pPr>
        <w:pStyle w:val="Default"/>
        <w:rPr>
          <w:rFonts w:ascii="Arial" w:hAnsi="Arial" w:cs="Arial"/>
          <w:sz w:val="16"/>
          <w:szCs w:val="16"/>
        </w:rPr>
      </w:pPr>
      <w:r>
        <w:rPr>
          <w:rFonts w:ascii="Arial" w:hAnsi="Arial" w:cs="Arial"/>
          <w:sz w:val="10"/>
          <w:szCs w:val="10"/>
        </w:rPr>
        <w:t xml:space="preserve">1 </w:t>
      </w:r>
      <w:r>
        <w:rPr>
          <w:rFonts w:ascii="Arial" w:hAnsi="Arial" w:cs="Arial"/>
          <w:sz w:val="16"/>
          <w:szCs w:val="16"/>
        </w:rPr>
        <w:t xml:space="preserve">Note: A Member’s role is to be strategic and not to micro-manage the Conservation Board. Staff are employed to run the business of the Conservation Board, but performance information needs to be available so that Members can be certain that the Conservation Board is delivering against its approved plans. </w:t>
      </w:r>
    </w:p>
    <w:p w14:paraId="57BCA0EF" w14:textId="77777777" w:rsidR="00C9428A" w:rsidRDefault="00C9428A" w:rsidP="00396900">
      <w:pPr>
        <w:pStyle w:val="Default"/>
        <w:rPr>
          <w:color w:val="auto"/>
          <w:sz w:val="22"/>
          <w:szCs w:val="22"/>
        </w:rPr>
      </w:pPr>
    </w:p>
    <w:p w14:paraId="05693369" w14:textId="77777777" w:rsidR="00903B86" w:rsidRDefault="00903B86" w:rsidP="00903B86">
      <w:pPr>
        <w:pStyle w:val="Default"/>
        <w:rPr>
          <w:color w:val="auto"/>
          <w:sz w:val="23"/>
          <w:szCs w:val="23"/>
        </w:rPr>
      </w:pPr>
      <w:r>
        <w:rPr>
          <w:b/>
          <w:bCs/>
          <w:color w:val="auto"/>
          <w:sz w:val="23"/>
          <w:szCs w:val="23"/>
        </w:rPr>
        <w:lastRenderedPageBreak/>
        <w:t xml:space="preserve">7. Operational Base </w:t>
      </w:r>
    </w:p>
    <w:p w14:paraId="16AC70E6" w14:textId="77777777" w:rsidR="001F6CD5" w:rsidRDefault="001F6CD5" w:rsidP="00903B86">
      <w:pPr>
        <w:pStyle w:val="Default"/>
        <w:rPr>
          <w:color w:val="auto"/>
          <w:sz w:val="22"/>
          <w:szCs w:val="22"/>
        </w:rPr>
      </w:pPr>
    </w:p>
    <w:p w14:paraId="2FE5FABE" w14:textId="04283CAD" w:rsidR="00903B86" w:rsidRDefault="00903B86" w:rsidP="00903B86">
      <w:pPr>
        <w:pStyle w:val="Default"/>
        <w:rPr>
          <w:color w:val="auto"/>
          <w:sz w:val="22"/>
          <w:szCs w:val="22"/>
        </w:rPr>
      </w:pPr>
      <w:r>
        <w:rPr>
          <w:color w:val="auto"/>
          <w:sz w:val="22"/>
          <w:szCs w:val="22"/>
        </w:rPr>
        <w:t xml:space="preserve">The Board’s base will be the organisation’s primary administration office. The main Board meetings are usually held in the Council Chamber at Cotswold District Council’s offices in Cirencester. The majority of Executive Committee and Working Group meetings are held at the Board’s administration offices. </w:t>
      </w:r>
    </w:p>
    <w:p w14:paraId="289C2A89" w14:textId="77777777" w:rsidR="001F6CD5" w:rsidRDefault="001F6CD5" w:rsidP="00903B86">
      <w:pPr>
        <w:pStyle w:val="Default"/>
        <w:rPr>
          <w:color w:val="auto"/>
          <w:sz w:val="22"/>
          <w:szCs w:val="22"/>
        </w:rPr>
      </w:pPr>
    </w:p>
    <w:p w14:paraId="24D11C53" w14:textId="77777777" w:rsidR="00903B86" w:rsidRDefault="00903B86" w:rsidP="00903B86">
      <w:pPr>
        <w:pStyle w:val="Default"/>
        <w:rPr>
          <w:color w:val="auto"/>
          <w:sz w:val="23"/>
          <w:szCs w:val="23"/>
        </w:rPr>
      </w:pPr>
      <w:r>
        <w:rPr>
          <w:b/>
          <w:bCs/>
          <w:color w:val="auto"/>
          <w:sz w:val="23"/>
          <w:szCs w:val="23"/>
        </w:rPr>
        <w:t xml:space="preserve">8. Conduct </w:t>
      </w:r>
    </w:p>
    <w:p w14:paraId="6BD6C589" w14:textId="77777777" w:rsidR="001F6CD5" w:rsidRDefault="001F6CD5" w:rsidP="00903B86">
      <w:pPr>
        <w:pStyle w:val="Default"/>
        <w:rPr>
          <w:color w:val="auto"/>
          <w:sz w:val="22"/>
          <w:szCs w:val="22"/>
        </w:rPr>
      </w:pPr>
    </w:p>
    <w:p w14:paraId="053852B4" w14:textId="0A189347" w:rsidR="00903B86" w:rsidRDefault="00903B86" w:rsidP="00903B86">
      <w:pPr>
        <w:pStyle w:val="Default"/>
        <w:rPr>
          <w:color w:val="auto"/>
          <w:sz w:val="22"/>
          <w:szCs w:val="22"/>
        </w:rPr>
      </w:pPr>
      <w:r>
        <w:rPr>
          <w:color w:val="auto"/>
          <w:sz w:val="22"/>
          <w:szCs w:val="22"/>
        </w:rPr>
        <w:t xml:space="preserve">Board Members will at all times maintain the highest standards of conduct and ethics, and show respect for fellow Members, staff and the community. A Members’ Code of Conduct has been adopted by the Board in accordance with the Localism Act 2011. </w:t>
      </w:r>
    </w:p>
    <w:p w14:paraId="23120185" w14:textId="77777777" w:rsidR="001F6CD5" w:rsidRDefault="001F6CD5" w:rsidP="00903B86">
      <w:pPr>
        <w:pStyle w:val="Default"/>
        <w:rPr>
          <w:color w:val="auto"/>
          <w:sz w:val="22"/>
          <w:szCs w:val="22"/>
        </w:rPr>
      </w:pPr>
    </w:p>
    <w:p w14:paraId="5CC97FDB" w14:textId="77777777" w:rsidR="00903B86" w:rsidRDefault="00903B86" w:rsidP="00903B86">
      <w:pPr>
        <w:pStyle w:val="Default"/>
        <w:rPr>
          <w:color w:val="auto"/>
          <w:sz w:val="22"/>
          <w:szCs w:val="22"/>
        </w:rPr>
      </w:pPr>
      <w:r>
        <w:rPr>
          <w:color w:val="auto"/>
          <w:sz w:val="22"/>
          <w:szCs w:val="22"/>
        </w:rPr>
        <w:t xml:space="preserve">Board Members are required to follow the “Seven Principles of Public Life” set out by the Committee on Standards in Public Life (Part 4 Section 1). It is essential that Members are, and are seen to be, honest, objective and impartial in the exercise of your duties. Members should not allow their judgement or integrity to be compromised or permit there to arise any reasonable grounds for suspicion as to the compromise of their judgment and integrity. </w:t>
      </w:r>
    </w:p>
    <w:p w14:paraId="658B6CB6" w14:textId="77777777" w:rsidR="001F6CD5" w:rsidRDefault="001F6CD5" w:rsidP="00903B86">
      <w:pPr>
        <w:pStyle w:val="Default"/>
        <w:rPr>
          <w:color w:val="auto"/>
          <w:sz w:val="22"/>
          <w:szCs w:val="22"/>
        </w:rPr>
      </w:pPr>
    </w:p>
    <w:p w14:paraId="393AE4CD" w14:textId="77777777" w:rsidR="00903B86" w:rsidRDefault="00903B86" w:rsidP="00903B86">
      <w:pPr>
        <w:pStyle w:val="Default"/>
        <w:rPr>
          <w:color w:val="auto"/>
          <w:sz w:val="22"/>
          <w:szCs w:val="22"/>
        </w:rPr>
      </w:pPr>
      <w:r>
        <w:rPr>
          <w:color w:val="auto"/>
          <w:sz w:val="22"/>
          <w:szCs w:val="22"/>
        </w:rPr>
        <w:t xml:space="preserve">Board Members will have such rights of access to such documents, information, land and buildings of the Board as are necessary for the proper discharge of their functions and in accordance with the law. The Chief Executive may refuse inspection of documents where the documents are, or in the event of legal proceedings would be, protected by privilege arising out of a solicitor and client relationship or are commercially confidential such that harm would occur. </w:t>
      </w:r>
    </w:p>
    <w:p w14:paraId="2DBA5356" w14:textId="77777777" w:rsidR="001F6CD5" w:rsidRDefault="001F6CD5" w:rsidP="00903B86">
      <w:pPr>
        <w:pStyle w:val="Default"/>
        <w:rPr>
          <w:color w:val="auto"/>
          <w:sz w:val="22"/>
          <w:szCs w:val="22"/>
        </w:rPr>
      </w:pPr>
    </w:p>
    <w:p w14:paraId="23686A0F" w14:textId="77777777" w:rsidR="00903B86" w:rsidRDefault="00903B86" w:rsidP="00903B86">
      <w:pPr>
        <w:pStyle w:val="Default"/>
        <w:rPr>
          <w:color w:val="auto"/>
          <w:sz w:val="22"/>
          <w:szCs w:val="22"/>
        </w:rPr>
      </w:pPr>
      <w:r>
        <w:rPr>
          <w:color w:val="auto"/>
          <w:sz w:val="22"/>
          <w:szCs w:val="22"/>
        </w:rPr>
        <w:t xml:space="preserve">Board Members will not make public information which is confidential or exempt without the consent of the Board or divulge information given in confidence to anyone other than a Board Member or Officer entitled to know it. For these purposes, “confidential” and “exempt” information are defined in the Access to Information Procedure Rules in Part 3 of the Constitution. </w:t>
      </w:r>
    </w:p>
    <w:p w14:paraId="27E7785D" w14:textId="77777777" w:rsidR="001F6CD5" w:rsidRDefault="001F6CD5" w:rsidP="00903B86">
      <w:pPr>
        <w:pStyle w:val="Default"/>
        <w:rPr>
          <w:color w:val="auto"/>
          <w:sz w:val="22"/>
          <w:szCs w:val="22"/>
        </w:rPr>
      </w:pPr>
    </w:p>
    <w:p w14:paraId="67D7FDA3" w14:textId="77777777" w:rsidR="00E439AD" w:rsidRDefault="00903B86" w:rsidP="00E439AD">
      <w:pPr>
        <w:pStyle w:val="Default"/>
        <w:rPr>
          <w:color w:val="auto"/>
          <w:sz w:val="22"/>
          <w:szCs w:val="22"/>
        </w:rPr>
      </w:pPr>
      <w:r>
        <w:rPr>
          <w:color w:val="auto"/>
          <w:sz w:val="22"/>
          <w:szCs w:val="22"/>
        </w:rPr>
        <w:t xml:space="preserve">Board Members should not speak on behalf of the Board on matters of media interest unless using an approved statement or with approval in advance from the Chief Executive, Communications Officer or Chair. </w:t>
      </w:r>
    </w:p>
    <w:p w14:paraId="4311E8C8" w14:textId="77777777" w:rsidR="00E439AD" w:rsidRDefault="00E439AD" w:rsidP="00E439AD">
      <w:pPr>
        <w:pStyle w:val="Default"/>
        <w:rPr>
          <w:color w:val="auto"/>
          <w:sz w:val="22"/>
          <w:szCs w:val="22"/>
        </w:rPr>
      </w:pPr>
    </w:p>
    <w:p w14:paraId="3B187E9E" w14:textId="642A3A78" w:rsidR="001F6CD5" w:rsidRDefault="00606DE6" w:rsidP="00E439AD">
      <w:pPr>
        <w:pStyle w:val="Default"/>
        <w:rPr>
          <w:color w:val="auto"/>
          <w:sz w:val="23"/>
          <w:szCs w:val="23"/>
        </w:rPr>
      </w:pPr>
      <w:r>
        <w:rPr>
          <w:b/>
          <w:bCs/>
          <w:color w:val="auto"/>
          <w:sz w:val="23"/>
          <w:szCs w:val="23"/>
        </w:rPr>
        <w:t xml:space="preserve">9. </w:t>
      </w:r>
      <w:r w:rsidR="00903B86">
        <w:rPr>
          <w:b/>
          <w:bCs/>
          <w:color w:val="auto"/>
          <w:sz w:val="23"/>
          <w:szCs w:val="23"/>
        </w:rPr>
        <w:t xml:space="preserve">Conflicts of Interest </w:t>
      </w:r>
    </w:p>
    <w:p w14:paraId="10AF423C" w14:textId="77777777" w:rsidR="001F6CD5" w:rsidRDefault="001F6CD5" w:rsidP="00903B86">
      <w:pPr>
        <w:pStyle w:val="Default"/>
        <w:rPr>
          <w:color w:val="auto"/>
          <w:sz w:val="22"/>
          <w:szCs w:val="22"/>
        </w:rPr>
      </w:pPr>
    </w:p>
    <w:p w14:paraId="4726F655" w14:textId="3AACC285" w:rsidR="00903B86" w:rsidRDefault="00903B86" w:rsidP="00903B86">
      <w:pPr>
        <w:pStyle w:val="Default"/>
        <w:rPr>
          <w:color w:val="auto"/>
          <w:sz w:val="22"/>
          <w:szCs w:val="22"/>
        </w:rPr>
      </w:pPr>
      <w:r>
        <w:rPr>
          <w:color w:val="auto"/>
          <w:sz w:val="22"/>
          <w:szCs w:val="22"/>
        </w:rPr>
        <w:t xml:space="preserve">A Board Member should ensure that no conflict arises, or could reasonably be perceived to arise between their public duties and their private interests – financial or otherwise. </w:t>
      </w:r>
    </w:p>
    <w:p w14:paraId="6191A43A" w14:textId="77777777" w:rsidR="001F6CD5" w:rsidRDefault="001F6CD5" w:rsidP="00903B86">
      <w:pPr>
        <w:pStyle w:val="Default"/>
        <w:rPr>
          <w:color w:val="auto"/>
          <w:sz w:val="22"/>
          <w:szCs w:val="22"/>
        </w:rPr>
      </w:pPr>
    </w:p>
    <w:p w14:paraId="3CC4E848" w14:textId="77777777" w:rsidR="00903B86" w:rsidRDefault="00903B86" w:rsidP="00903B86">
      <w:pPr>
        <w:pStyle w:val="Default"/>
        <w:rPr>
          <w:color w:val="auto"/>
          <w:sz w:val="22"/>
          <w:szCs w:val="22"/>
        </w:rPr>
      </w:pPr>
      <w:r>
        <w:rPr>
          <w:color w:val="auto"/>
          <w:sz w:val="22"/>
          <w:szCs w:val="22"/>
        </w:rPr>
        <w:t xml:space="preserve">The Board is required to maintain and update a Register of Interests of its Members within 28 days of a change. The Register is available for public inspection. Details of the Register are set out in the Members’ Code of Conduct in the Constitution. </w:t>
      </w:r>
    </w:p>
    <w:p w14:paraId="22F5166C" w14:textId="77777777" w:rsidR="001F6CD5" w:rsidRDefault="001F6CD5" w:rsidP="00903B86">
      <w:pPr>
        <w:pStyle w:val="Default"/>
        <w:rPr>
          <w:color w:val="auto"/>
          <w:sz w:val="22"/>
          <w:szCs w:val="22"/>
        </w:rPr>
      </w:pPr>
    </w:p>
    <w:p w14:paraId="690FDDFB" w14:textId="77777777" w:rsidR="00903B86" w:rsidRDefault="00903B86" w:rsidP="00903B86">
      <w:pPr>
        <w:pStyle w:val="Default"/>
        <w:rPr>
          <w:color w:val="auto"/>
          <w:sz w:val="22"/>
          <w:szCs w:val="22"/>
        </w:rPr>
      </w:pPr>
      <w:r>
        <w:rPr>
          <w:color w:val="auto"/>
          <w:sz w:val="22"/>
          <w:szCs w:val="22"/>
        </w:rPr>
        <w:t xml:space="preserve">Board Members are expected to declare any personal, prejudicial or business interests which may, or may be perceived to, conflict with their public duties or influence their judgement in performing their functions. Members must ensure that entries in the Register of Interests are kept up to date. Should a particular matter give rise to a conflict of interest they are required to follow the Board’s rules on disclosure of interests and possible withdrawal from the matter. </w:t>
      </w:r>
    </w:p>
    <w:p w14:paraId="4E84A80F" w14:textId="77777777" w:rsidR="00E439AD" w:rsidRDefault="00E439AD" w:rsidP="00903B86">
      <w:pPr>
        <w:pStyle w:val="Default"/>
        <w:rPr>
          <w:color w:val="auto"/>
          <w:sz w:val="22"/>
          <w:szCs w:val="22"/>
        </w:rPr>
      </w:pPr>
    </w:p>
    <w:p w14:paraId="20C3DF7F" w14:textId="77777777" w:rsidR="00903B86" w:rsidRDefault="00903B86" w:rsidP="00903B86">
      <w:pPr>
        <w:pStyle w:val="Default"/>
        <w:rPr>
          <w:color w:val="auto"/>
          <w:sz w:val="23"/>
          <w:szCs w:val="23"/>
        </w:rPr>
      </w:pPr>
      <w:r>
        <w:rPr>
          <w:b/>
          <w:bCs/>
          <w:color w:val="auto"/>
          <w:sz w:val="23"/>
          <w:szCs w:val="23"/>
        </w:rPr>
        <w:t xml:space="preserve">10. Allowances </w:t>
      </w:r>
    </w:p>
    <w:p w14:paraId="6565702B" w14:textId="77777777" w:rsidR="001F6CD5" w:rsidRDefault="001F6CD5" w:rsidP="00903B86">
      <w:pPr>
        <w:pStyle w:val="Default"/>
        <w:rPr>
          <w:color w:val="auto"/>
          <w:sz w:val="22"/>
          <w:szCs w:val="22"/>
        </w:rPr>
      </w:pPr>
    </w:p>
    <w:p w14:paraId="1561C18A" w14:textId="2E8CAA13" w:rsidR="00903B86" w:rsidRDefault="00903B86" w:rsidP="00903B86">
      <w:pPr>
        <w:pStyle w:val="Default"/>
        <w:rPr>
          <w:color w:val="auto"/>
          <w:sz w:val="22"/>
          <w:szCs w:val="22"/>
        </w:rPr>
      </w:pPr>
      <w:r>
        <w:rPr>
          <w:color w:val="auto"/>
          <w:sz w:val="22"/>
          <w:szCs w:val="22"/>
        </w:rPr>
        <w:t xml:space="preserve">The determination of allowances and other benefits for Board Members is governed by the Local Authorities (Members Allowances) (England) Regulations 2003 (SI 2003/1021). </w:t>
      </w:r>
    </w:p>
    <w:p w14:paraId="624A79A9" w14:textId="7F8D1695" w:rsidR="00903B86" w:rsidRDefault="00903B86" w:rsidP="00903B86">
      <w:pPr>
        <w:pStyle w:val="Default"/>
        <w:rPr>
          <w:color w:val="auto"/>
          <w:sz w:val="22"/>
          <w:szCs w:val="22"/>
        </w:rPr>
      </w:pPr>
      <w:r>
        <w:rPr>
          <w:color w:val="auto"/>
          <w:sz w:val="22"/>
          <w:szCs w:val="22"/>
        </w:rPr>
        <w:lastRenderedPageBreak/>
        <w:t xml:space="preserve">The Board will review and agree its Scheme of Members’ Allowances on an annual basis, determining the types and levels of financial allowances and/or expenses to enable Board Members to participate fully in Board activities while being sufficiently economical to avoid damaging the Board’s activities or becoming a financial reward for Members. </w:t>
      </w:r>
    </w:p>
    <w:p w14:paraId="6C8DBE4E" w14:textId="77777777" w:rsidR="001F6CD5" w:rsidRDefault="001F6CD5" w:rsidP="00903B86">
      <w:pPr>
        <w:pStyle w:val="Default"/>
        <w:rPr>
          <w:color w:val="auto"/>
          <w:sz w:val="22"/>
          <w:szCs w:val="22"/>
        </w:rPr>
      </w:pPr>
    </w:p>
    <w:p w14:paraId="5E2A40E1" w14:textId="77777777" w:rsidR="00903B86" w:rsidRDefault="00903B86" w:rsidP="00903B86">
      <w:pPr>
        <w:pStyle w:val="Default"/>
        <w:rPr>
          <w:color w:val="auto"/>
          <w:sz w:val="23"/>
          <w:szCs w:val="23"/>
        </w:rPr>
      </w:pPr>
      <w:r>
        <w:rPr>
          <w:b/>
          <w:bCs/>
          <w:color w:val="auto"/>
          <w:sz w:val="23"/>
          <w:szCs w:val="23"/>
        </w:rPr>
        <w:t xml:space="preserve">11. Gifts and hospitality </w:t>
      </w:r>
    </w:p>
    <w:p w14:paraId="3C5FC532" w14:textId="77777777" w:rsidR="001F6CD5" w:rsidRDefault="001F6CD5" w:rsidP="00903B86">
      <w:pPr>
        <w:pStyle w:val="Default"/>
        <w:rPr>
          <w:color w:val="auto"/>
          <w:sz w:val="22"/>
          <w:szCs w:val="22"/>
        </w:rPr>
      </w:pPr>
    </w:p>
    <w:p w14:paraId="1607D494" w14:textId="14CA9FC3" w:rsidR="00903B86" w:rsidRDefault="00903B86" w:rsidP="00903B86">
      <w:pPr>
        <w:pStyle w:val="Default"/>
        <w:rPr>
          <w:color w:val="auto"/>
          <w:sz w:val="22"/>
          <w:szCs w:val="22"/>
        </w:rPr>
      </w:pPr>
      <w:r>
        <w:rPr>
          <w:color w:val="auto"/>
          <w:sz w:val="22"/>
          <w:szCs w:val="22"/>
        </w:rPr>
        <w:t xml:space="preserve">No gifts or hospitality should be accepted which might, or might reasonably appear to, compromise the Member’s personal judgement or integrity or place them under an improper obligation or bring the Board into disrepute. Members are expected to comply with the Board’s Constitution on the acceptance of gifts and hospitality. All gifts over £25 should be declared and none should be canvassed or requested. </w:t>
      </w:r>
    </w:p>
    <w:p w14:paraId="0C23C88C" w14:textId="77777777" w:rsidR="001F6CD5" w:rsidRDefault="001F6CD5" w:rsidP="00903B86">
      <w:pPr>
        <w:pStyle w:val="Default"/>
        <w:rPr>
          <w:color w:val="auto"/>
          <w:sz w:val="22"/>
          <w:szCs w:val="22"/>
        </w:rPr>
      </w:pPr>
    </w:p>
    <w:p w14:paraId="4572E744" w14:textId="77777777" w:rsidR="00903B86" w:rsidRDefault="00903B86" w:rsidP="00903B86">
      <w:pPr>
        <w:pStyle w:val="Default"/>
        <w:rPr>
          <w:color w:val="auto"/>
          <w:sz w:val="23"/>
          <w:szCs w:val="23"/>
        </w:rPr>
      </w:pPr>
      <w:r>
        <w:rPr>
          <w:b/>
          <w:bCs/>
          <w:color w:val="auto"/>
          <w:sz w:val="23"/>
          <w:szCs w:val="23"/>
        </w:rPr>
        <w:t xml:space="preserve">12. Disqualification of Members </w:t>
      </w:r>
    </w:p>
    <w:p w14:paraId="2411AE93" w14:textId="77777777" w:rsidR="001F6CD5" w:rsidRDefault="001F6CD5" w:rsidP="00903B86">
      <w:pPr>
        <w:pStyle w:val="Default"/>
        <w:rPr>
          <w:color w:val="auto"/>
          <w:sz w:val="22"/>
          <w:szCs w:val="22"/>
        </w:rPr>
      </w:pPr>
    </w:p>
    <w:p w14:paraId="641EE9B4" w14:textId="53D16B64" w:rsidR="00903B86" w:rsidRDefault="00903B86" w:rsidP="00903B86">
      <w:pPr>
        <w:pStyle w:val="Default"/>
        <w:rPr>
          <w:color w:val="auto"/>
          <w:sz w:val="22"/>
          <w:szCs w:val="22"/>
        </w:rPr>
      </w:pPr>
      <w:r>
        <w:rPr>
          <w:color w:val="auto"/>
          <w:sz w:val="22"/>
          <w:szCs w:val="22"/>
        </w:rPr>
        <w:t xml:space="preserve">A person is disqualified from becoming or remaining a Member of the Board if they hold any paid office or employment, appointments to which are, or may be, made or confirmed by: </w:t>
      </w:r>
    </w:p>
    <w:p w14:paraId="545D2442" w14:textId="77777777" w:rsidR="001F6CD5" w:rsidRDefault="001F6CD5" w:rsidP="00903B86">
      <w:pPr>
        <w:pStyle w:val="Default"/>
        <w:rPr>
          <w:color w:val="auto"/>
          <w:sz w:val="22"/>
          <w:szCs w:val="22"/>
        </w:rPr>
      </w:pPr>
    </w:p>
    <w:p w14:paraId="10F87B9B" w14:textId="77777777" w:rsidR="00903B86" w:rsidRDefault="00903B86" w:rsidP="001F6CD5">
      <w:pPr>
        <w:pStyle w:val="Default"/>
        <w:numPr>
          <w:ilvl w:val="0"/>
          <w:numId w:val="12"/>
        </w:numPr>
        <w:spacing w:after="32"/>
        <w:rPr>
          <w:color w:val="auto"/>
          <w:sz w:val="22"/>
          <w:szCs w:val="22"/>
        </w:rPr>
      </w:pPr>
      <w:r>
        <w:rPr>
          <w:color w:val="auto"/>
          <w:sz w:val="22"/>
          <w:szCs w:val="22"/>
        </w:rPr>
        <w:t xml:space="preserve">The Board or any council by whom a local authority Member of the Board is appointed; </w:t>
      </w:r>
    </w:p>
    <w:p w14:paraId="27AA9B4A" w14:textId="77777777" w:rsidR="00903B86" w:rsidRDefault="00903B86" w:rsidP="001F6CD5">
      <w:pPr>
        <w:pStyle w:val="Default"/>
        <w:numPr>
          <w:ilvl w:val="0"/>
          <w:numId w:val="12"/>
        </w:numPr>
        <w:spacing w:after="32"/>
        <w:rPr>
          <w:color w:val="auto"/>
          <w:sz w:val="22"/>
          <w:szCs w:val="22"/>
        </w:rPr>
      </w:pPr>
      <w:r>
        <w:rPr>
          <w:color w:val="auto"/>
          <w:sz w:val="22"/>
          <w:szCs w:val="22"/>
        </w:rPr>
        <w:t xml:space="preserve">Any committee or sub-committee of the Board or of any such council; </w:t>
      </w:r>
    </w:p>
    <w:p w14:paraId="57141F47" w14:textId="77777777" w:rsidR="00903B86" w:rsidRDefault="00903B86" w:rsidP="001F6CD5">
      <w:pPr>
        <w:pStyle w:val="Default"/>
        <w:numPr>
          <w:ilvl w:val="0"/>
          <w:numId w:val="12"/>
        </w:numPr>
        <w:spacing w:after="32"/>
        <w:rPr>
          <w:color w:val="auto"/>
          <w:sz w:val="22"/>
          <w:szCs w:val="22"/>
        </w:rPr>
      </w:pPr>
      <w:r>
        <w:rPr>
          <w:color w:val="auto"/>
          <w:sz w:val="22"/>
          <w:szCs w:val="22"/>
        </w:rPr>
        <w:t xml:space="preserve">Any joint committee on which the Board or any such council is represented; </w:t>
      </w:r>
    </w:p>
    <w:p w14:paraId="3A00C5E1" w14:textId="77777777" w:rsidR="00903B86" w:rsidRDefault="00903B86" w:rsidP="001F6CD5">
      <w:pPr>
        <w:pStyle w:val="Default"/>
        <w:numPr>
          <w:ilvl w:val="0"/>
          <w:numId w:val="12"/>
        </w:numPr>
        <w:spacing w:after="32"/>
        <w:rPr>
          <w:color w:val="auto"/>
          <w:sz w:val="22"/>
          <w:szCs w:val="22"/>
        </w:rPr>
      </w:pPr>
      <w:r>
        <w:rPr>
          <w:color w:val="auto"/>
          <w:sz w:val="22"/>
          <w:szCs w:val="22"/>
        </w:rPr>
        <w:t xml:space="preserve">Any parish council for, or parish meeting of, a parish the whole or any part of which is comprised in the Cotswolds AONB; </w:t>
      </w:r>
    </w:p>
    <w:p w14:paraId="4AB40F78" w14:textId="77777777" w:rsidR="00903B86" w:rsidRDefault="00903B86" w:rsidP="001F6CD5">
      <w:pPr>
        <w:pStyle w:val="Default"/>
        <w:numPr>
          <w:ilvl w:val="0"/>
          <w:numId w:val="12"/>
        </w:numPr>
        <w:spacing w:after="32"/>
        <w:rPr>
          <w:color w:val="auto"/>
          <w:sz w:val="22"/>
          <w:szCs w:val="22"/>
        </w:rPr>
      </w:pPr>
      <w:r>
        <w:rPr>
          <w:color w:val="auto"/>
          <w:sz w:val="22"/>
          <w:szCs w:val="22"/>
        </w:rPr>
        <w:t xml:space="preserve">Any committee or sub-committee of any such parish council or parish meeting; </w:t>
      </w:r>
    </w:p>
    <w:p w14:paraId="78C25A6A" w14:textId="77777777" w:rsidR="00903B86" w:rsidRDefault="00903B86" w:rsidP="001F6CD5">
      <w:pPr>
        <w:pStyle w:val="Default"/>
        <w:numPr>
          <w:ilvl w:val="0"/>
          <w:numId w:val="12"/>
        </w:numPr>
        <w:spacing w:after="32"/>
        <w:rPr>
          <w:color w:val="auto"/>
          <w:sz w:val="22"/>
          <w:szCs w:val="22"/>
        </w:rPr>
      </w:pPr>
      <w:r>
        <w:rPr>
          <w:color w:val="auto"/>
          <w:sz w:val="22"/>
          <w:szCs w:val="22"/>
        </w:rPr>
        <w:t xml:space="preserve">Any joint committee on which any such parish council or parish meeting is represented; </w:t>
      </w:r>
    </w:p>
    <w:p w14:paraId="799D4E2C" w14:textId="7D28CDC2" w:rsidR="00903B86" w:rsidRPr="00C9428A" w:rsidRDefault="00903B86" w:rsidP="00903B86">
      <w:pPr>
        <w:pStyle w:val="Default"/>
        <w:numPr>
          <w:ilvl w:val="0"/>
          <w:numId w:val="12"/>
        </w:numPr>
        <w:rPr>
          <w:color w:val="auto"/>
        </w:rPr>
      </w:pPr>
      <w:r w:rsidRPr="001F6CD5">
        <w:rPr>
          <w:color w:val="auto"/>
          <w:sz w:val="22"/>
          <w:szCs w:val="22"/>
        </w:rPr>
        <w:t xml:space="preserve">Any person himself holding an office or employment which disqualifies him from becoming a Member of the Board. </w:t>
      </w:r>
    </w:p>
    <w:p w14:paraId="0AAB95BA" w14:textId="77777777" w:rsidR="00C9428A" w:rsidRDefault="00C9428A" w:rsidP="00C9428A">
      <w:pPr>
        <w:pStyle w:val="Default"/>
        <w:rPr>
          <w:color w:val="auto"/>
          <w:sz w:val="22"/>
          <w:szCs w:val="22"/>
        </w:rPr>
      </w:pPr>
    </w:p>
    <w:p w14:paraId="4FB9030D" w14:textId="54E4D6DC" w:rsidR="00C9428A" w:rsidRDefault="00C9428A" w:rsidP="00C9428A">
      <w:pPr>
        <w:pStyle w:val="Default"/>
        <w:rPr>
          <w:color w:val="auto"/>
          <w:sz w:val="22"/>
          <w:szCs w:val="22"/>
        </w:rPr>
      </w:pPr>
      <w:r>
        <w:rPr>
          <w:color w:val="auto"/>
          <w:sz w:val="22"/>
          <w:szCs w:val="22"/>
        </w:rPr>
        <w:t xml:space="preserve">A person is also </w:t>
      </w:r>
      <w:r w:rsidRPr="00C9428A">
        <w:rPr>
          <w:color w:val="auto"/>
          <w:sz w:val="22"/>
          <w:szCs w:val="22"/>
        </w:rPr>
        <w:t>disqualified from becoming or remaining a Member of the Board if they hold any employment in a company which would be under the control of the Board. Proceedings for disqualification are set out in the Order and the Local Government Act 1972, Section 92.</w:t>
      </w:r>
    </w:p>
    <w:p w14:paraId="7A13A17F" w14:textId="77777777" w:rsidR="00C9428A" w:rsidRDefault="00C9428A" w:rsidP="00C9428A">
      <w:pPr>
        <w:pStyle w:val="Default"/>
        <w:rPr>
          <w:color w:val="auto"/>
          <w:sz w:val="22"/>
          <w:szCs w:val="22"/>
        </w:rPr>
      </w:pPr>
    </w:p>
    <w:p w14:paraId="2753E1CB" w14:textId="67D38FD5" w:rsidR="00C9428A" w:rsidRPr="001F6CD5" w:rsidRDefault="00C9428A" w:rsidP="00C9428A">
      <w:pPr>
        <w:pStyle w:val="Default"/>
        <w:numPr>
          <w:ilvl w:val="0"/>
          <w:numId w:val="14"/>
        </w:numPr>
        <w:ind w:left="284" w:hanging="284"/>
        <w:rPr>
          <w:b/>
          <w:bCs/>
          <w:color w:val="auto"/>
          <w:sz w:val="22"/>
          <w:szCs w:val="22"/>
        </w:rPr>
      </w:pPr>
      <w:r>
        <w:rPr>
          <w:b/>
          <w:bCs/>
          <w:color w:val="auto"/>
          <w:sz w:val="23"/>
          <w:szCs w:val="23"/>
        </w:rPr>
        <w:t xml:space="preserve"> </w:t>
      </w:r>
      <w:r w:rsidRPr="001F6CD5">
        <w:rPr>
          <w:b/>
          <w:bCs/>
          <w:color w:val="auto"/>
          <w:sz w:val="23"/>
          <w:szCs w:val="23"/>
        </w:rPr>
        <w:t xml:space="preserve">Vacation of office for failure to attend </w:t>
      </w:r>
      <w:r w:rsidRPr="001F6CD5">
        <w:rPr>
          <w:b/>
          <w:bCs/>
          <w:color w:val="auto"/>
          <w:sz w:val="22"/>
          <w:szCs w:val="22"/>
        </w:rPr>
        <w:t xml:space="preserve">meetings </w:t>
      </w:r>
    </w:p>
    <w:p w14:paraId="5809FEC3" w14:textId="77777777" w:rsidR="00C9428A" w:rsidRDefault="00C9428A" w:rsidP="00C9428A">
      <w:pPr>
        <w:pStyle w:val="Default"/>
        <w:rPr>
          <w:color w:val="auto"/>
          <w:sz w:val="22"/>
          <w:szCs w:val="22"/>
        </w:rPr>
      </w:pPr>
    </w:p>
    <w:p w14:paraId="127F6CC3" w14:textId="77777777" w:rsidR="00C9428A" w:rsidRDefault="00C9428A" w:rsidP="00C9428A">
      <w:pPr>
        <w:pStyle w:val="Default"/>
        <w:rPr>
          <w:color w:val="auto"/>
          <w:sz w:val="22"/>
          <w:szCs w:val="22"/>
        </w:rPr>
      </w:pPr>
      <w:r>
        <w:rPr>
          <w:color w:val="auto"/>
          <w:sz w:val="22"/>
          <w:szCs w:val="22"/>
        </w:rPr>
        <w:t xml:space="preserve">If a Member of the Board fails throughout a period of twelve months from the date of their last attendance to attend any meeting of the Board, its committee, sub-committee, joint committee or any advisory body or meeting, they shall, unless the failure was due to some reason approved by the Board before the expiry of that period, cease to be a Member of the Board. </w:t>
      </w:r>
    </w:p>
    <w:p w14:paraId="55452335" w14:textId="77777777" w:rsidR="00C9428A" w:rsidRDefault="00C9428A" w:rsidP="00C9428A">
      <w:pPr>
        <w:pStyle w:val="Default"/>
        <w:rPr>
          <w:color w:val="auto"/>
          <w:sz w:val="22"/>
          <w:szCs w:val="22"/>
        </w:rPr>
      </w:pPr>
    </w:p>
    <w:p w14:paraId="3D7C3A39" w14:textId="77777777" w:rsidR="00C9428A" w:rsidRDefault="00C9428A" w:rsidP="00C9428A">
      <w:pPr>
        <w:pStyle w:val="Default"/>
        <w:rPr>
          <w:color w:val="auto"/>
          <w:sz w:val="23"/>
          <w:szCs w:val="23"/>
        </w:rPr>
      </w:pPr>
      <w:r>
        <w:rPr>
          <w:b/>
          <w:bCs/>
          <w:color w:val="auto"/>
          <w:sz w:val="23"/>
          <w:szCs w:val="23"/>
        </w:rPr>
        <w:t xml:space="preserve">14. Politically Restricted Posts </w:t>
      </w:r>
    </w:p>
    <w:p w14:paraId="0ADF98FF" w14:textId="77777777" w:rsidR="00C9428A" w:rsidRDefault="00C9428A" w:rsidP="00C9428A">
      <w:pPr>
        <w:spacing w:after="0"/>
      </w:pPr>
    </w:p>
    <w:p w14:paraId="0F36A757" w14:textId="3A41D6F0" w:rsidR="00C9428A" w:rsidRDefault="00C9428A" w:rsidP="00C9428A">
      <w:pPr>
        <w:spacing w:after="0"/>
      </w:pPr>
      <w:r>
        <w:t>Section 13 (4) of the Establishment Order and Sections 1 to 3 of the Local Government and Housing Act 1989 provide that a person shall be disqualified from becoming or remaining a Member of the Board if they hold a politically restricted post under the Board or any other local authority in Great Britain. Politically restricted posts include Head of Paid Service, statutory or non-statutory Chief Officers, Monitoring Officer and any post specified by the employing authority in accordance with the Act.</w:t>
      </w:r>
    </w:p>
    <w:p w14:paraId="0FC207D5" w14:textId="77777777" w:rsidR="00C9428A" w:rsidRDefault="00C9428A" w:rsidP="00C9428A">
      <w:pPr>
        <w:spacing w:after="0"/>
      </w:pPr>
    </w:p>
    <w:p w14:paraId="7153C87D" w14:textId="2E0A311B" w:rsidR="00C9428A" w:rsidRPr="00C9428A" w:rsidRDefault="00C9428A" w:rsidP="00C9428A">
      <w:pPr>
        <w:rPr>
          <w:i/>
          <w:iCs/>
        </w:rPr>
      </w:pPr>
      <w:r w:rsidRPr="007D5B17">
        <w:rPr>
          <w:i/>
          <w:iCs/>
        </w:rPr>
        <w:t>February 2024</w:t>
      </w:r>
    </w:p>
    <w:sectPr w:rsidR="00C9428A" w:rsidRPr="00C9428A" w:rsidSect="00C9428A">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40CE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3EE0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61E3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07E6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7ED45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9CE8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AF07B9"/>
    <w:multiLevelType w:val="hybridMultilevel"/>
    <w:tmpl w:val="0A9C887E"/>
    <w:lvl w:ilvl="0" w:tplc="DF124DDA">
      <w:start w:val="13"/>
      <w:numFmt w:val="decimal"/>
      <w:lvlText w:val="%1."/>
      <w:lvlJc w:val="left"/>
      <w:pPr>
        <w:ind w:left="720" w:hanging="360"/>
      </w:pPr>
      <w:rPr>
        <w:rFonts w:hint="default"/>
        <w:b/>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97273A"/>
    <w:multiLevelType w:val="hybridMultilevel"/>
    <w:tmpl w:val="28C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32AE8"/>
    <w:multiLevelType w:val="hybridMultilevel"/>
    <w:tmpl w:val="5DAA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72A00"/>
    <w:multiLevelType w:val="hybridMultilevel"/>
    <w:tmpl w:val="96C6A4A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4D4745A"/>
    <w:multiLevelType w:val="hybridMultilevel"/>
    <w:tmpl w:val="E376B49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F370345"/>
    <w:multiLevelType w:val="hybridMultilevel"/>
    <w:tmpl w:val="346444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37127E"/>
    <w:multiLevelType w:val="hybridMultilevel"/>
    <w:tmpl w:val="E9D2D30E"/>
    <w:lvl w:ilvl="0" w:tplc="EB32870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542D5D"/>
    <w:multiLevelType w:val="hybridMultilevel"/>
    <w:tmpl w:val="2EF4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497892">
    <w:abstractNumId w:val="3"/>
  </w:num>
  <w:num w:numId="2" w16cid:durableId="375549418">
    <w:abstractNumId w:val="2"/>
  </w:num>
  <w:num w:numId="3" w16cid:durableId="3483258">
    <w:abstractNumId w:val="0"/>
  </w:num>
  <w:num w:numId="4" w16cid:durableId="1497455044">
    <w:abstractNumId w:val="4"/>
  </w:num>
  <w:num w:numId="5" w16cid:durableId="81613389">
    <w:abstractNumId w:val="5"/>
  </w:num>
  <w:num w:numId="6" w16cid:durableId="529294796">
    <w:abstractNumId w:val="1"/>
  </w:num>
  <w:num w:numId="7" w16cid:durableId="1863745141">
    <w:abstractNumId w:val="7"/>
  </w:num>
  <w:num w:numId="8" w16cid:durableId="2135442449">
    <w:abstractNumId w:val="13"/>
  </w:num>
  <w:num w:numId="9" w16cid:durableId="1704137925">
    <w:abstractNumId w:val="10"/>
  </w:num>
  <w:num w:numId="10" w16cid:durableId="1991245943">
    <w:abstractNumId w:val="8"/>
  </w:num>
  <w:num w:numId="11" w16cid:durableId="2017923781">
    <w:abstractNumId w:val="9"/>
  </w:num>
  <w:num w:numId="12" w16cid:durableId="1830248169">
    <w:abstractNumId w:val="11"/>
  </w:num>
  <w:num w:numId="13" w16cid:durableId="142430599">
    <w:abstractNumId w:val="6"/>
  </w:num>
  <w:num w:numId="14" w16cid:durableId="601183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86"/>
    <w:rsid w:val="001F6CD5"/>
    <w:rsid w:val="00363A76"/>
    <w:rsid w:val="00396900"/>
    <w:rsid w:val="003B67C9"/>
    <w:rsid w:val="004637B8"/>
    <w:rsid w:val="004B11B1"/>
    <w:rsid w:val="00606DE6"/>
    <w:rsid w:val="007D5B17"/>
    <w:rsid w:val="008829A3"/>
    <w:rsid w:val="00903B86"/>
    <w:rsid w:val="00974073"/>
    <w:rsid w:val="00B47A3C"/>
    <w:rsid w:val="00BE7803"/>
    <w:rsid w:val="00C9428A"/>
    <w:rsid w:val="00E439AD"/>
    <w:rsid w:val="00EC0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FBD6"/>
  <w15:chartTrackingRefBased/>
  <w15:docId w15:val="{704F1BEC-0A95-479C-8C0B-3361A2C2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3B86"/>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B47A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2CE8FD02FF1A47BE1212F4889FE957" ma:contentTypeVersion="17" ma:contentTypeDescription="Create a new document." ma:contentTypeScope="" ma:versionID="9d559ece3f94ab9173285f2ec4c99338">
  <xsd:schema xmlns:xsd="http://www.w3.org/2001/XMLSchema" xmlns:xs="http://www.w3.org/2001/XMLSchema" xmlns:p="http://schemas.microsoft.com/office/2006/metadata/properties" xmlns:ns2="599cb3a4-7e76-4d3c-99ee-4d82dfeb5d36" xmlns:ns3="bafc0912-6cbe-44ab-a12f-7f9b2e79505c" targetNamespace="http://schemas.microsoft.com/office/2006/metadata/properties" ma:root="true" ma:fieldsID="144eaae20aff9449fc01c4967eede5a0" ns2:_="" ns3:_="">
    <xsd:import namespace="599cb3a4-7e76-4d3c-99ee-4d82dfeb5d36"/>
    <xsd:import namespace="bafc0912-6cbe-44ab-a12f-7f9b2e7950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b3a4-7e76-4d3c-99ee-4d82dfeb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d4024f-ca33-42c8-bdfe-822fc54ba4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c0912-6cbe-44ab-a12f-7f9b2e7950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6182dc-b634-4175-ae23-65acac51650f}" ma:internalName="TaxCatchAll" ma:showField="CatchAllData" ma:web="bafc0912-6cbe-44ab-a12f-7f9b2e7950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fc0912-6cbe-44ab-a12f-7f9b2e79505c" xsi:nil="true"/>
    <lcf76f155ced4ddcb4097134ff3c332f xmlns="599cb3a4-7e76-4d3c-99ee-4d82dfeb5d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6EF038-D411-413A-9924-A0D606828A50}">
  <ds:schemaRefs>
    <ds:schemaRef ds:uri="http://schemas.openxmlformats.org/officeDocument/2006/bibliography"/>
  </ds:schemaRefs>
</ds:datastoreItem>
</file>

<file path=customXml/itemProps2.xml><?xml version="1.0" encoding="utf-8"?>
<ds:datastoreItem xmlns:ds="http://schemas.openxmlformats.org/officeDocument/2006/customXml" ds:itemID="{5FAE64AE-69A4-4406-975D-E8706416B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b3a4-7e76-4d3c-99ee-4d82dfeb5d36"/>
    <ds:schemaRef ds:uri="bafc0912-6cbe-44ab-a12f-7f9b2e795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E64DE-3491-46DB-B3CF-88BB50D9420A}">
  <ds:schemaRefs>
    <ds:schemaRef ds:uri="http://schemas.microsoft.com/sharepoint/v3/contenttype/forms"/>
  </ds:schemaRefs>
</ds:datastoreItem>
</file>

<file path=customXml/itemProps4.xml><?xml version="1.0" encoding="utf-8"?>
<ds:datastoreItem xmlns:ds="http://schemas.openxmlformats.org/officeDocument/2006/customXml" ds:itemID="{5C1B9264-3763-4A74-9834-A4813EB6DF83}">
  <ds:schemaRefs>
    <ds:schemaRef ds:uri="http://schemas.microsoft.com/office/2006/metadata/properties"/>
    <ds:schemaRef ds:uri="http://schemas.microsoft.com/office/infopath/2007/PartnerControls"/>
    <ds:schemaRef ds:uri="bafc0912-6cbe-44ab-a12f-7f9b2e79505c"/>
    <ds:schemaRef ds:uri="599cb3a4-7e76-4d3c-99ee-4d82dfeb5d3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Morris</dc:creator>
  <cp:keywords/>
  <dc:description/>
  <cp:lastModifiedBy>Della Morris</cp:lastModifiedBy>
  <cp:revision>13</cp:revision>
  <dcterms:created xsi:type="dcterms:W3CDTF">2024-05-08T12:33:00Z</dcterms:created>
  <dcterms:modified xsi:type="dcterms:W3CDTF">2024-05-08T13:03:00Z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0x0101005D2CE8FD02FF1A47BE1212F4889FE957</vt:lpwstr>
  </property>
  <property fmtid="{D5CDD505-2E9C-101B-9397-08002B2CF9AE}" pid="3" name="MediaServiceImageTags">
    <vt:lpwstr/>
  </property>
</Properties>
</file>